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黑体" w:hAnsi="黑体" w:eastAsia="黑体" w:cs="黑体"/>
          <w:kern w:val="0"/>
          <w:sz w:val="32"/>
          <w:szCs w:val="32"/>
          <w:highlight w:val="none"/>
          <w:shd w:val="clear" w:color="auto" w:fill="auto"/>
          <w:lang w:val="en-US" w:eastAsia="zh-CN" w:bidi="ar"/>
        </w:rPr>
      </w:pPr>
      <w:r>
        <w:rPr>
          <w:rFonts w:hint="eastAsia" w:ascii="黑体" w:hAnsi="黑体" w:eastAsia="黑体" w:cs="黑体"/>
          <w:kern w:val="0"/>
          <w:sz w:val="32"/>
          <w:szCs w:val="32"/>
          <w:highlight w:val="none"/>
          <w:shd w:val="clear" w:color="auto" w:fill="auto"/>
          <w:lang w:val="en-US" w:eastAsia="zh-CN" w:bidi="ar"/>
        </w:rPr>
        <w:t>附件2</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shd w:val="clear" w:color="auto" w:fill="auto"/>
          <w:lang w:val="en-US" w:eastAsia="zh-CN"/>
        </w:rPr>
      </w:pPr>
      <w:r>
        <w:rPr>
          <w:rFonts w:hint="eastAsia" w:ascii="方正小标宋简体" w:hAnsi="方正小标宋简体" w:eastAsia="方正小标宋简体" w:cs="方正小标宋简体"/>
          <w:b w:val="0"/>
          <w:bCs w:val="0"/>
          <w:color w:val="auto"/>
          <w:sz w:val="44"/>
          <w:szCs w:val="44"/>
          <w:shd w:val="clear" w:color="auto" w:fill="auto"/>
          <w:lang w:val="en-US" w:eastAsia="zh-CN"/>
        </w:rPr>
        <w:t>区直单位调整的行政权力事项目录</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方正小标宋简体" w:hAnsi="方正小标宋简体" w:eastAsia="方正小标宋简体" w:cs="方正小标宋简体"/>
          <w:b w:val="0"/>
          <w:bCs w:val="0"/>
          <w:color w:val="auto"/>
          <w:sz w:val="32"/>
          <w:szCs w:val="32"/>
          <w:shd w:val="clear" w:color="auto" w:fill="auto"/>
          <w:lang w:val="en-US" w:eastAsia="zh-CN"/>
        </w:rPr>
      </w:pPr>
    </w:p>
    <w:tbl>
      <w:tblPr>
        <w:tblStyle w:val="8"/>
        <w:tblW w:w="8880" w:type="dxa"/>
        <w:tblInd w:w="0" w:type="dxa"/>
        <w:shd w:val="clear" w:color="auto" w:fill="auto"/>
        <w:tblLayout w:type="fixed"/>
        <w:tblCellMar>
          <w:top w:w="0" w:type="dxa"/>
          <w:left w:w="0" w:type="dxa"/>
          <w:bottom w:w="0" w:type="dxa"/>
          <w:right w:w="0" w:type="dxa"/>
        </w:tblCellMar>
      </w:tblPr>
      <w:tblGrid>
        <w:gridCol w:w="541"/>
        <w:gridCol w:w="3315"/>
        <w:gridCol w:w="1560"/>
        <w:gridCol w:w="1125"/>
        <w:gridCol w:w="2339"/>
      </w:tblGrid>
      <w:tr>
        <w:tblPrEx>
          <w:shd w:val="clear" w:color="auto" w:fill="auto"/>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实施单位</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权力类型</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处理决定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建设单位未按照规定进行职业病危害预评价或者未提交职业病危害预评价报告，或者职业病危害预评价报告未经安全生产监督管理部门审核同意，开工建设的处罚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因机构改革职能划转，实施部门由区应急管理局调整为区卫生健康委员会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建设项目的职业病防护设施未按照规定与主体工程同时投入生产和使用的处罚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因机构改革职能划转，实施部门由区应急管理局调整为区卫生健康委员会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职业病危害严重的建设项目，其职业病防护设施设计未经安全生产监督管理部门审查，或者不符合国家职业卫生标准和卫生要求施工的处罚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名称调整为：建设单位建设项目的职业病防护设施设计不符合国家职业卫生标准和卫生要求的处罚，因机构改革职能划转，实施部门由区应急管理局调整为区卫生健康委员会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建设单位未按照规定对职业病防护设施进行职业病危害控制效果评价、未经安全生产监督管理部门验收或者验收不合格，擅自投入使用的处罚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名称调整为：建设单位未按照规定对职业病防护设施进行职业病危害控制效果评价的处罚，因机构改革职能划转，实施部门由区应急管理局调整为区卫生健康委员会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工作场所职业病危害因素检测、评价结果没有存档、上报、公布的处罚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因机构改革职能划转，实施部门由区应急管理局调整为区卫生健康委员会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用人单位未采取规定的职业病防治管理措施的处罚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因机构改革职能划转，实施部门由区应急管理局调整为区卫生健康委员会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用人单位未按照规定公布有关职业病防治的规章制度、操作规程、职业病危害事故应急救援措施的处罚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因机构改革职能划转，实施部门由区应急管理局调整为区卫生健康委员会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用人单位未按照规定组织劳动者进行职业卫生培训，或者未对劳动者个人职业病防护采取指导、督促措施的处罚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因机构改革职能划转，实施部门由区应急管理局调整为区卫生健康委员会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国内首次使用或者首次进口与职业病危害有关的化学材料，未按照规定报送毒性鉴定资料以及经有关部门登记注册或者批准进口的文件的处罚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因机构改革职能划转，实施部门由区应急管理局调整为区卫生健康委员会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用人单位未按照规定及时、如实向安全生产监督管理部门申报产生职业病危害的项目的处罚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名称调整为：用人单位未按照规定及时、如实向卫生行政部门申报产生职业病危害的项目的处罚，因机构改革职能划转，实施部门由区应急管理局调整为区卫生健康委员会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用人单位未实施由专人负责的职业病危害因素日常监测，或者监测系统不能正常监测的处罚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因机构改革职能划转，实施部门由区应急管理局调整为区卫生健康委员会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用人单位订立或者变更劳动合同时，未告知劳动者职业病危害真实情况的处罚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因机构改革职能划转，实施部门由区应急管理局局调整为区卫生健康委员会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用人单位未按照规定组织职业健康检查、建立职业健康监护档案或者未将检查结果书面告知劳动者的处罚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因机构改革职能划转，实施部门由区应急管理局局调整为区卫生健康委员会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用人单位未依照规定在劳动者离开用人单位时提供职业健康监护档案复印件的处罚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因机构改革职能划转，实施部门由区应急管理局调整为区卫生健康委员会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用人单位工作场所职业病危害因素的强度或者浓度超过国家职业卫生标准的处罚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因机构改革职能划转，实施部门由区应急管理局调整为区卫生健康委员会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用人单位未提供职业病防护设施和个人使用的职业病防护用品，或者提供的职业病防护设施和个人使用的职业病防护用品不符合国家职业卫生标准和卫生要求的处罚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因机构改革职能划转，实施部门由区应急管理局调整为区卫生健康委员会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用人单位对职业病防护设备、应急救援设施和个人使用的职业病防护用品未按照规定进行维护、检修、检测，或者不能保持正常运行、使用状态的处罚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因机构改革职能划转，实施部门由区应急管理局调整为区卫生健康委员会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用人单位未按照规定对工作场所职业病危害因素进行检测、评价的处罚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因机构改革职能划转，实施部门由区应急管理局调整为区卫生健康委员会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用人单位工作场所职业病危害因素经治理仍然达不到国家职业卫生标准和卫生要求时，未停止存在职业病危害因素的作业的处罚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因机构改革职能划转，实施部门由区应急管理局调整为区卫生健康委员会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用人单位未按照规定安排职业病病人、疑似职业病病人进行诊治的处罚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因机构改革职能划转，实施部门由区应急管理局调整为区卫生健康委员会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用人单位发生或者可能发生急性职业病危害事故时，未立即采取应急救援和控制措施或者未按照规定及时报告的处罚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因机构改革职能划转，实施部门由区应急管理局调整为区卫生健康委员会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用人单位未按照规定在产生严重职业病危害的作业岗位醒目位置设置警示标识和中文警示说明的处罚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因机构改革职能划转，实施部门由区应急管理局调整为区卫生健康委员会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用人单位拒绝职业卫生监督管理部门监督检查的处罚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因机构改革职能划转，实施部门由区应急管理局调整为区卫生健康委员会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用人单位隐瞒、伪造、篡改、毁损职业健康监护档案、工作场所职业病危害因素检测评价结果等相关资料，或者拒不提供职业病诊断、鉴定所需资料的处罚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因机构改革职能划转，实施部门由区应急管理局调整为区卫生健康委员会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用人单位未按照规定承担职业病诊断、鉴定费用和职业病病人的医疗、生活保障费用的处罚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因机构改革职能划转，实施部门由区应急管理局调整为区卫生健康委员会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向用人单位提供可能产生职业病危害的设备、材料，未按照规定提供中文说明书或者设置警示标识和中文警示说明的处罚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因机构改革职能划转，实施部门由区应急管理局调整为区卫生健康委员会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用人单位隐瞒技术、工艺、设备、材料所产生的职业病危害而采用的处罚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因机构改革职能划转，实施部门由区应急管理局调整为区卫生健康委员会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用人单位隐瞒本单位职业卫生真实情况的处罚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因机构改革职能划转，实施部门由区应急管理局调整为区卫生健康委员会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可能发生急性职业损伤的有毒、有害工作场所、放射工作场所或者放射性同位素的运输、贮存不符合规定的处罚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因机构改革职能划转，实施部门由区应急管理局调整为区卫生健康委员会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用人单位使用国家明令禁止使用的可能产生职业病危害的设备或者材料的处罚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因机构改革职能划转，实施部门由区应急管理局调整为区卫生健康委员会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将产生职业病危害的作业转移给没有职业病防护条件的单位和个人，或者没有职业病防护条件的单位和个人接受产生职业病危害的作业的处罚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因机构改革职能划转，实施部门由区应急管理局调整为区卫生健康委员会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用人单位擅自拆除、停止使用职业病防护设备或者应急救援设施的处罚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因机构改革职能划转，实施部门由区应急管理局调整为区卫生健康委员会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用人单位安排未经职业健康检查的劳动者、有职业禁忌的劳动者、未成年工或者孕期、哺乳期女职工从事接触职业病危害的作业或者禁忌作业的处罚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因机构改革职能划转，实施部门由区应急管理局调整为区卫生健康委员会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用人单位违章指挥和强令劳动者进行没有职业病防护措施的作业的处罚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因机构改革职能划转，实施部门由区应急管理局调整为区卫生健康委员会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用人单位违反规定，已经对劳动者生命健康造成严重损害的处罚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因机构改革职能划转，实施部门由区应急管理局调整为区卫生健康委员会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未取得职业卫生技术服务资质认可擅自从事职业卫生技术服务的处罚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因机构改革职能划转，实施部门由区应急管理局调整为区卫生健康委员会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37</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从事职业卫生技术服务的机构超出资质认可或者批准范围从事职业卫生技术服务的处罚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应急管理局调整为区卫生健康委员会，划入后并入“从事职业卫生技术服务的机构和承担职业健康检查、职业病诊断的医疗卫生机构未依法履行职责；超出资质认可或者批准范围从事职业卫生技术服务或者职业健康检查、职业病诊断；出具虚假证明文件的处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从事职业卫生技术服务的机构不按照规定履行法定职责的处罚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名称调整为：从事职业卫生技术服务的机构和承担职业病诊断的医疗卫生机构不按照职业病防治法规定履行法定职责的处罚，因机构改革职能划转，实施部门由区应急管理局局调整为区卫生健康委员会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职业病防治工作监督检查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因机构改革职能划转，实施部门由区应急管理局局调整为区卫生健康委员会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职业病危害项目申报受理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区应急管理局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因机构改革职能划转，实施部门由区应急管理局局调整为区卫生健康委员会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社会保障基金使用、管理情况监督检查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因机构改革职能划转，实施部门由区财政局调整为区审计局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财政收入监督检查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区财政局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因机构改革职能划转，实施部门由区财政局调整为区审计局，并入“财政预算执行、决算及其他财政收支情况审计监督”</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经营者不执行政府指导价、政府定价的处罚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因机构改革职能划转，实施部门由区发展改革委调整为区市场监督管理局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经营者不执行法定的价格干预措施、紧急措施的处罚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因机构改革职能划转，实施部门由区发展改革委调整为区市场监督管理局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除依法降价处理鲜活商品、季节性商品、积压商品等商品外，为了排挤竞争对手或者独占市场，违法低于成本的价格倾销，扰乱正常的生产经营秩序，损害国家利益或者其他经营者的合法权益；提供相同商品或者服务，对具有同等交易条件的其他经营者实行价格歧视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因机构改革职能划转，实施部门由区发展改革委员会调整为区市场监督管理局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经营者相互串通，操纵市场价格的处罚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因机构改革职能划转，实施部门由区发展改革委调整为区市场监督管理局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经营者采取捏造、散布涨价信息等手段，哄抬价格，推动商品价格过高上涨的处罚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因机构改革职能划转，实施部门由区发展改革委调整为区市场监督管理局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经营者利用虚假的或者使人误解的价格手段，诱骗消费者或者其他经营者与其进行交易的处罚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因机构改革职能划转，实施部门由区发展改革委调整为区市场监督管理局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49</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经营者采取抬高等级或者压低等级等手段销售、收购商品或者提供服务，变相提高或者压低价格的处罚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因机构改革职能划转，实施部门由区发展改革委调整为区市场监督管理局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经营者违反法律、法规牟取暴利的处罚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因机构改革职能划转，实施部门由区发展改革委调整为区市场监督管理局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经营者违反明码标价规定的处罚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因机构改革职能划转，实施部门由区发展改革委调整为区市场监督管理局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经营者被责令暂停相关营业而不停止，或者转移、隐匿、销毁依法登记保存的财物的处罚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因机构改革职能划转，实施部门由区发展改革委调整为区市场监督管理局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53</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拒绝提供价格监督检查所需资料或者提供虚假资料；拒绝或拖延价格监督检查；销毁、隐匿价格监督检查资料的处罚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因机构改革职能划转，实施部门由区发展改革委调整为区市场监督管理局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经营者拒不退还消费者或者其他经营者多付价款的处罚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因机构改革职能划转，实施部门由区发展改革委调整为区市场监督管理局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55</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违反行政事业性收费、经营性服务收费规定的处罚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因机构改革职能划转，实施部门由区发展改革委调整为区市场监督管理局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56</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对价格违法行为直接负责的有关人员的处罚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因机构改革职能划转，实施部门由区发展改革委调整为区市场监督管理局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逾期未缴纳价格违法罚款或违法所得，加处罚款或滞纳金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因机构改革职能划转，实施部门由区发展改革委调整为区市场监督管理局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价格活动监督检查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因机构改革职能划转，实施部门由区发展改革委调整为区市场监督管理局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59</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招标投标活动监督检查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名称调整为“对区本级政府投资的重点项目招投标活动进行监督检查”</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医用耗材价格备案</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因机构改革职能划转，实施部门由区发展改革委调整为区医疗保障局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61</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层流洁净病房收费备案</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区发展和改革委员会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因机构改革职能划转，实施部门由区发展改革委调整为区医疗保障局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62</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社团成立、变更、注销登记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区民政局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名称调整为：社会团体成立、变更、注销登记</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63</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养老机构设立许可</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区民政局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名称调整为：养老机构备案，权利类型调整为其他职权</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64</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流浪乞讨人员救助</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区民政局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名称调整为：城市生活无着的流浪乞讨人员救助管理</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65</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烈士评定审核</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区民政局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因机构改革职能划转，实施部门由区民政局调整为区退役军人事务局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66</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伤残军人和无工作单位的伤残民兵民工因旧伤复发死亡认定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区民政局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因机构改革职能划转，实施部门由区民政局调整为区退役军人事务局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67</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自然灾害生活救助</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区民政局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因机构改革职能划转，实施部门由区民政局调整为区应急管理局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老年优待证核发</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区民政局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因机构改革职能划转，实施部门由区民政局调整为区卫生健康委员会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69</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安排退役士兵职业技能培训费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区民政局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因机构改革职能划转，实施部门由区民政局调整为区退役军人事务局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70</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拖拉机、联合收割机等农用机械驾驶证及牌照核发</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区农业机械管理局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因机构改革职能划转，实施部门由区农业机械管理局调整为区农业农村局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71</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擅自从事拖拉机、联合收割机驾驶培训业务；未按统一的教学计划、教学大纲和规定教材进行培训；聘用未经省政府农机主管部门考核合格的人员从事拖拉机驾驶员培训教学工作的处罚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区农业机械管理局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因机构改革职能划转，实施部门由区农业机械管理局调整为区农业农村局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72</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持假冒农机跨区作业证或扰乱跨区作业秩序的处罚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区农业机械管理局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因机构改革职能划转，实施部门由区农业机械管理局调整为区农业农村局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73</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使用劣质配件维修农机，拼装、改装农机整机，或承揽维修已达到报废条件农机的处罚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区农业机械管理局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因机构改革职能划转，实施部门由区农业机械管理局调整为区农业农村局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74</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未取得或使用伪造、变造、过期的农业机械维修技术合格证书从事维修经营的处罚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区农业机械管理局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因机构改革职能划转，实施部门由区农业机械管理局调整为区农业农村局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75</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伪造、变造或者使用伪造、变造的拖拉机、联合收割机证书和牌照，或者使用其他拖拉机、联合收割机的证书和牌照的处罚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区农业机械管理局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因机构改革职能划转，实施部门由区农业机械管理局调整为区农业农村局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76</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未取得操作证件而操作拖拉机、联合收割机的处罚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区农业机械管理局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因机构改革职能划转，实施部门由区农业机械管理局调整为区农业农村局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77</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拖拉机、联合收割机操作人员违反规定操作拖拉机、联合收割机的处罚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区农业机械管理局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因机构改革职能划转，实施部门由区农业机械管理局调整为区农业农村局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78</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使用拖拉机、联合收割机违规载人的处罚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区农业机械管理局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因机构改革职能划转，实施部门由区农业机械管理局调整为区农业农村局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79</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农业机械维修者未在经营场所的醒目位置悬挂统一的《农业机械维修技术合格证》；未按规定填写维修记录、报送年度维修情况统计表或者参加年度安全技术检验的处罚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区农业机械管理局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因机构改革职能划转，实施部门由区农业机械管理局调整为区农业农村局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80</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农业机械维修者超越范围承揽无技术能力保障的维修项目的处罚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区农业机械管理局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因机构改革职能划转，实施部门由区农业机械管理局调整为区农业农村局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81</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联合收割机跨区作业先进单位和先进个人的表彰奖励</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区农业机械管理局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行政奖励</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因机构改革职能划转，实施部门由区农业机械管理局调整为区农业农村局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82</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扣押无证无牌擅自使用，或未按规定办理变更登记手续的拖拉机、联合收割机</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区农业机械管理局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因机构改革职能划转，实施部门由区农业机械管理局调整为区农业农村局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83</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扣押拒不停止使用的存在事故隐患的农业机械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区农业机械管理局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因机构改革职能划转，实施部门由区农业机械管理局调整为区农业农村局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84</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拖拉机驾驶培训机构监督检查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区农业机械管理局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因机构改革职能划转，实施部门由区农业机械管理局调整为区农业农村局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85</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农机跨区作业中介服务组织资格认定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区农业机械管理局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因机构改革职能划转，实施部门由区农业机械管理局调整为区农业农村局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86</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跨省引进用于饲养的非乳用、非种用动物和水产苗到达目的地后，未按规定报告的处罚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名称调整为：跨省、自治区、直辖市引进用于饲养的非乳用、非种用动物和水产苗到达目的地后，未按规定报告的处罚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87</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跨省引进用于乳用、种用动物到达输入地后，未按规定进行隔离观察的处罚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名称调整为：跨省、自治区、直辖市引进的乳用、种用动物到达输入地后，未按规定进行隔离观察的处罚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88</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植物检疫证核发</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名称调整为：林业植物检疫证书核发</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89</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陆生野生动物经营许可证、驯养繁殖许可证核发</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合并为：省重点保护陆生野生动物人工繁育许可证核发</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90</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陆生野生动物及其产品运输许可证核发</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3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91</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使用林地审核</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名称调整为：勘查、开采矿藏和各项建设工程占用或者征收、征用林地审核</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92</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用人单位未按时足额缴纳社会保险费的处罚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因机构改革职能划转，实施部门由区人力资源和社会保障局调整为区地方税务机关</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93</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缴费单位阻挠劳动保障监察人员依法行使监察职权，拒绝检查；隐瞒事实真相，谎报、瞒报，出具伪证，或者隐匿、毁灭证据；拒绝提供与缴纳社会保险费有关的用人情况、工资表、财务报表等资料；拒绝执行劳动保障行政部门下达的监督检查询问书；拒绝执行劳动保障行政部门下达的限期改正指令书；打击报复举报人员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因机构改革职能划转，实施部门由区人力资源和社会保障局调整为区地方税务机关</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94</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缴费单位伪造、变造、故意毁灭有关账册、材料，或者不设账册，迟延缴纳社会保险费的处罚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因机构改革职能划转，实施部门由区人力资源和社会保障局调整为区地方税务机关</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95</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加收社会保险费欠费滞纳金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因机构改革职能划转，实施部门由区人力资源和社会保障调整为地方税务机关</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96</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企业军转干部解困资金给付</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因机构改革职能划转，实施部门由区人力资源和社会保障调整为区退役军人事务局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97</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医疗保险待遇给付</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因机构改革职能划转，实施部门由区人力资源和社会保障调整为区医疗保障局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98</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生育保险待遇给付</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因机构改革职能划转，实施部门由区人力资源和社会保障调整为区医疗保障局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99</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社会保险费征缴监督检查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因机构改革职能划转，实施部门由区人力资源和社会保障局调整为区地方税务机关</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引智项目认定初审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因机构改革职能划转，实施部门由区人力资源和社会保障局调整为区科技和工业信息化局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101</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城镇职工基本医疗保险登记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因机构改革职能划转，实施部门由区人力资源和社会保障调整为区医疗保障局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102</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重症慢性病医疗费用报销审核</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因机构改革职能划转，实施部门由区人力资源和社会保障调整为区医疗保障局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103</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区直行政机关（参照公务员法管理单位）科级以下人员调配</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1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调整为政府内部管理事项</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104</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区直行政机关（参照公务员法管理单位）科级以下非领导职位设置、空缺职位、任职资格审核</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1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105</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区直行政机关（参照公务员法管理单位）科级以下人员年度考核结果备案</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1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106</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区直事业单位人员调配</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1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区直事业单位公开招聘</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1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108</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区直事业单位工作人员辞职、解聘及科级以下工作人员行政处分备案</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1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109</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区直事业单位科级以下工作人员年度考核结果备案</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1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110</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事业单位岗位设置方案审核上报备案、区直事业单位工作人员岗位聘用认定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1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111</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区直行政机关（参照公务员法管理单位）科级以下人员辞职、辞退、行政处分备案</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区人力资源和社会保障局</w:t>
            </w:r>
          </w:p>
        </w:tc>
        <w:tc>
          <w:tcPr>
            <w:tcW w:w="11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名称调整为“区直事业单位科级以下工作人员行政处分备案”调整为政府内部管理事项</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112</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建设单位明示或者暗示施工单位使用不合格的建筑材料、建筑构配件和设备的处罚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区住房和城乡建设局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因机构改革职能划转，实施部门由区住房和城乡建设局调整为区城市管理局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113</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建设单位明示或者暗示设计单位、施工单位违反工程建设强制性标准进行设计、施工，降低工程质量的处罚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区住房和城乡建设局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因机构改革职能划转，实施部门由区住房和城乡建设局调整为区城市管理局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114</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建设单位未按照国家规定将竣工验收报告、有关认可文件或者准许使用文件报送备案的处罚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区住房和城乡建设局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因机构改革职能划转，实施部门由区住房和城乡建设局调整为区城市管理局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115</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建设单位未组织竣工验收、验收不合格擅自交付使用、对不合格的建设工程按照合格工程验收的处罚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区住房和城乡建设局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因机构改革职能划转，实施部门由区住房和城乡建设局调整为区城市管理局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116</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建设单位未移交建设项目档案的处罚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区住房和城乡建设局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因机构改革职能划转，实施部门由区住房和城乡建设局调整为区城市管理局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117</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设计单位指定建筑材料、建筑构配件的生产厂、供应商的处罚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区住房和城乡建设局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因机构改革职能划转，实施部门由区住房和城乡建设局调整为区城市管理局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118</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施工单位未对建筑材料、建筑构配件、设备和商品混凝土进行检验，或者未对涉及结构安全的试块、试件以及有关材料取样检测的处罚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区住房和城乡建设局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因机构改革职能划转，实施部门由区住房和城乡建设局调整为区城市管理局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119</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监理单位将不合格的建设工程、建筑材料、建筑构配件和设备按照合格签字的处罚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区住房和城乡建设局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因机构改革职能划转，实施部门由区住房和城乡建设局调整为区城市管理局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120</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涉及建筑主体或者承重结构变动的装修工程，没有设计方案擅自施工的处罚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区住房和城乡建设局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因机构改革职能划转，实施部门由区住房和城乡建设局调整为区城市管理局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121</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注册执业人员因过错造成质量事故的处罚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区住房和城乡建设局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因机构改革职能划转，实施部门由区住房和城乡建设局调整为区城市管理局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122</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损坏城市树木花草的处罚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区住房和城乡建设局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因机构改革职能划转，实施部门由区住房和城乡建设局调整为区城市管理局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123</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擅自修剪或者砍伐城市树木的处罚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区住房和城乡建设局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因机构改革职能划转，实施部门由区住房和城乡建设局调整为区城市管理局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124</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砍伐、擅自迁移古树名木或者因养护不善致使古树名木受到损伤或者死亡的处罚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区住房和城乡建设局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因机构改革职能划转，实施部门由区住房和城乡建设局调整为区城市管理局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125</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损害城市绿化设施的处罚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区住房和城乡建设局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因机构改革职能划转，实施部门由区住房和城乡建设局调整为区城市管理局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126</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擅自占用城市绿化用地的处罚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区住房和城乡建设局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因机构改革职能划转，实施部门由区住房和城乡建设局调整为区城市管理局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127</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城市污水排入排水管网许可</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区住房和城乡建设局</w:t>
            </w:r>
          </w:p>
        </w:tc>
        <w:tc>
          <w:tcPr>
            <w:tcW w:w="11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因机构改革职能划转，实施部门由区住房和城乡建设局调整为区城市管理局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128</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砍伐、移植、修剪城市树木审批</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区住房和城乡建设局</w:t>
            </w:r>
          </w:p>
        </w:tc>
        <w:tc>
          <w:tcPr>
            <w:tcW w:w="11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因机构改革职能划转，实施部门由区住房和城乡建设局调整为区城市管理局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129</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临时占用城市绿化用地审批</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区住房和城乡建设局</w:t>
            </w:r>
          </w:p>
        </w:tc>
        <w:tc>
          <w:tcPr>
            <w:tcW w:w="11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因机构改革职能划转，实施部门由区住房和城乡建设局调整为区城市管理局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130</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违法行政行为处理和责任追究</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区法制办</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因机构改革随职能并入司法局名称调整为：行政执法过错责任追究</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131</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行政执法争议协调</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区法制办</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因机构改革随职能并入司法局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132</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重大行政处罚备案审查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区法制办</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因机构改革随职能并入司法局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133</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规范性文件备案审查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区法制办</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因机构改革随职能并入司法局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134</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规范性文件异议审查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区法制办</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因机构改革随职能并入司法局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135</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支付办案补贴</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区司法局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行政给付</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名称调整为：法律援助补贴发放</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136</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提供法律援助</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区司法局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名称调整为：对公民法律援助申请的审批</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137</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行政复议事项办理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区法制办</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因机构改革随职能并入司法局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138</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公共机构节能监督检查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区机关事务管理局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调整为政府内部管理事项</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139</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公共机构能源消费统计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区机关事务管理局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调整为政府内部管理事项</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140</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办公区办公用房调剂审核</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区机关事务管理局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调整为政府内部管理事项</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141</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互联网上网服务场所设立许可</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区文化体育广播局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名称调整为：互联网上网服务营业场所经营单位设立审批</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142</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出版物零售经营许可证核发</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区文化体育广播局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因机构改革职能划转，实施部门由区文化体育广播局调整为区新闻出版局</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143</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电影放映经验许可证核发</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区文化体育广播局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因机构改革职能划转，实施部门由区文化体育广播局调整为区委宣传部</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144</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全区广播电视电影市场检查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区文化体育广播局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因机构改革职能划转，实施部门由区文化体育广播局调整为区委宣传部</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145</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医师、护士职业许可</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名称调整为：医师职业注册</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146</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公共场所经营单位卫生许可</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名称调整为：公共场所卫生许可</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147</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母婴保健技术服务机构执业许可</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名称调整为：母婴保健技术服务（助产技术、结扎、终止妊娠手术）机构执业许可</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148</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母婴保健机构服务人员资格许可</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区卫生健康委员会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名称调整为：母婴保健服务人员（助产技术、结扎、终止妊娠手术）资格认定</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149</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中小学生学籍变动核准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区教育局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其他职权</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名称调整为：义务教育学籍变动审查</w:t>
            </w:r>
          </w:p>
        </w:tc>
      </w:tr>
      <w:tr>
        <w:tblPrEx>
          <w:tblLayout w:type="fixed"/>
          <w:tblCellMar>
            <w:top w:w="0" w:type="dxa"/>
            <w:left w:w="0" w:type="dxa"/>
            <w:bottom w:w="0" w:type="dxa"/>
            <w:right w:w="0" w:type="dxa"/>
          </w:tblCellMar>
        </w:tblPrEx>
        <w:trPr>
          <w:cantSplit/>
          <w:trHeight w:val="5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150</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农业机械维修者不能保持设备、设施、人员、质量管理、安全生产和环境保护等技术条件符合要求的处罚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区农业机械管理局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因机构改革职能划转，实施部门由区农业机械管理局调整为区农业农村局</w:t>
            </w:r>
          </w:p>
        </w:tc>
      </w:tr>
      <w:tr>
        <w:tblPrEx>
          <w:tblLayout w:type="fixed"/>
          <w:tblCellMar>
            <w:top w:w="0" w:type="dxa"/>
            <w:left w:w="0" w:type="dxa"/>
            <w:bottom w:w="0" w:type="dxa"/>
            <w:right w:w="0" w:type="dxa"/>
          </w:tblCellMar>
        </w:tblPrEx>
        <w:trPr>
          <w:cantSplit/>
          <w:trHeight w:val="960"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151</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挖掘城市道路修复费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区城市管理局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行政征收</w:t>
            </w:r>
          </w:p>
        </w:tc>
        <w:tc>
          <w:tcPr>
            <w:tcW w:w="2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因机构改革职能划转，实施部门由区城市管理局调整为区住房与城乡建设局</w:t>
            </w:r>
          </w:p>
        </w:tc>
      </w:tr>
    </w:tbl>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方正小标宋简体" w:hAnsi="方正小标宋简体" w:eastAsia="方正小标宋简体" w:cs="方正小标宋简体"/>
          <w:b w:val="0"/>
          <w:bCs w:val="0"/>
          <w:color w:val="auto"/>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方正小标宋简体" w:hAnsi="方正小标宋简体" w:eastAsia="方正小标宋简体" w:cs="方正小标宋简体"/>
          <w:b w:val="0"/>
          <w:bCs w:val="0"/>
          <w:color w:val="auto"/>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方正小标宋简体" w:hAnsi="方正小标宋简体" w:eastAsia="方正小标宋简体" w:cs="方正小标宋简体"/>
          <w:b w:val="0"/>
          <w:bCs w:val="0"/>
          <w:color w:val="auto"/>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方正小标宋简体" w:hAnsi="方正小标宋简体" w:eastAsia="方正小标宋简体" w:cs="方正小标宋简体"/>
          <w:b w:val="0"/>
          <w:bCs w:val="0"/>
          <w:color w:val="auto"/>
          <w:sz w:val="32"/>
          <w:szCs w:val="32"/>
          <w:shd w:val="clear" w:color="auto" w:fill="auto"/>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黑体" w:hAnsi="黑体" w:eastAsia="黑体" w:cs="黑体"/>
          <w:kern w:val="0"/>
          <w:sz w:val="32"/>
          <w:szCs w:val="32"/>
          <w:highlight w:val="none"/>
          <w:shd w:val="clear" w:color="auto" w:fill="auto"/>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黑体" w:hAnsi="黑体" w:eastAsia="黑体" w:cs="黑体"/>
          <w:kern w:val="0"/>
          <w:sz w:val="32"/>
          <w:szCs w:val="32"/>
          <w:highlight w:val="none"/>
          <w:shd w:val="clear" w:color="auto" w:fill="auto"/>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黑体" w:hAnsi="黑体" w:eastAsia="黑体" w:cs="黑体"/>
          <w:kern w:val="0"/>
          <w:sz w:val="32"/>
          <w:szCs w:val="32"/>
          <w:highlight w:val="none"/>
          <w:shd w:val="clear" w:color="auto" w:fill="auto"/>
          <w:lang w:val="en-US" w:eastAsia="zh-CN" w:bidi="ar"/>
        </w:rPr>
      </w:pPr>
    </w:p>
    <w:p>
      <w:pPr>
        <w:spacing w:line="360" w:lineRule="exact"/>
        <w:jc w:val="center"/>
        <w:rPr>
          <w:rFonts w:hint="eastAsia" w:ascii="仿宋_GB2312" w:hAnsi="仿宋_GB2312" w:eastAsia="仿宋_GB2312" w:cs="仿宋_GB2312"/>
          <w:b w:val="0"/>
          <w:bCs w:val="0"/>
          <w:color w:val="auto"/>
          <w:sz w:val="32"/>
          <w:szCs w:val="32"/>
          <w:shd w:val="clear" w:color="auto" w:fill="auto"/>
          <w:lang w:val="en-US" w:eastAsia="zh-CN"/>
        </w:rPr>
      </w:pPr>
    </w:p>
    <w:sectPr>
      <w:footerReference r:id="rId3" w:type="default"/>
      <w:pgSz w:w="11850" w:h="16783"/>
      <w:pgMar w:top="2211" w:right="1531" w:bottom="1871" w:left="1531"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863966-58A9-41C3-8773-1B45AEF2F65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16D6C675-7B5E-4B6F-9BDC-2966AE63EE25}"/>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3" w:fontKey="{96E7ABC6-6658-445B-985F-6F6320E44DC6}"/>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77CFF"/>
    <w:rsid w:val="10EE4F23"/>
    <w:rsid w:val="12F2066B"/>
    <w:rsid w:val="17C137C4"/>
    <w:rsid w:val="19AD10ED"/>
    <w:rsid w:val="1EA3181F"/>
    <w:rsid w:val="1FDE2051"/>
    <w:rsid w:val="20ED3BC4"/>
    <w:rsid w:val="25F75774"/>
    <w:rsid w:val="276C2188"/>
    <w:rsid w:val="2C9A36AA"/>
    <w:rsid w:val="32483EEB"/>
    <w:rsid w:val="325A4B97"/>
    <w:rsid w:val="33D413E4"/>
    <w:rsid w:val="34B11680"/>
    <w:rsid w:val="35484384"/>
    <w:rsid w:val="3AE2708D"/>
    <w:rsid w:val="44991667"/>
    <w:rsid w:val="594928D9"/>
    <w:rsid w:val="5CD24901"/>
    <w:rsid w:val="5FEB2FB4"/>
    <w:rsid w:val="65757405"/>
    <w:rsid w:val="66AE6189"/>
    <w:rsid w:val="671860E2"/>
    <w:rsid w:val="691752C5"/>
    <w:rsid w:val="69DD674C"/>
    <w:rsid w:val="6BA751F4"/>
    <w:rsid w:val="6C364DE5"/>
    <w:rsid w:val="6F866B3C"/>
    <w:rsid w:val="7088521F"/>
    <w:rsid w:val="71637EF6"/>
    <w:rsid w:val="72C72142"/>
    <w:rsid w:val="7A2876D2"/>
    <w:rsid w:val="7E0C36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widowControl/>
      <w:jc w:val="left"/>
    </w:pPr>
    <w:rPr>
      <w:rFonts w:ascii="Arial" w:hAnsi="Arial" w:eastAsia="仿宋_GB2312" w:cs="Arial"/>
      <w:kern w:val="0"/>
      <w:sz w:val="24"/>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99"/>
    <w:rPr>
      <w:rFonts w:cs="Times New Roman"/>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
    <w:name w:val="font31"/>
    <w:basedOn w:val="6"/>
    <w:qFormat/>
    <w:uiPriority w:val="0"/>
    <w:rPr>
      <w:rFonts w:ascii="Arial" w:hAnsi="Arial" w:cs="Arial"/>
      <w:color w:val="000000"/>
      <w:sz w:val="20"/>
      <w:szCs w:val="20"/>
      <w:u w:val="none"/>
    </w:rPr>
  </w:style>
  <w:style w:type="character" w:customStyle="1" w:styleId="11">
    <w:name w:val="font21"/>
    <w:basedOn w:val="6"/>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242</Pages>
  <Words>187165</Words>
  <Characters>196599</Characters>
  <Lines>0</Lines>
  <Paragraphs>0</Paragraphs>
  <TotalTime>7</TotalTime>
  <ScaleCrop>false</ScaleCrop>
  <LinksUpToDate>false</LinksUpToDate>
  <CharactersWithSpaces>196632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我们如此无奈</cp:lastModifiedBy>
  <cp:lastPrinted>2019-12-09T07:08:00Z</cp:lastPrinted>
  <dcterms:modified xsi:type="dcterms:W3CDTF">2019-12-31T02:38:54Z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